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50"/>
        <w:ind w:left="2455" w:right="2317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tka@nt-rt.ru</w:t>
        </w:r>
      </w:hyperlink>
    </w:p>
    <w:p>
      <w:pPr>
        <w:pStyle w:val="BodyText"/>
        <w:spacing w:before="72"/>
        <w:rPr>
          <w:rFonts w:ascii="Century Gothic"/>
          <w:sz w:val="28"/>
        </w:rPr>
      </w:pPr>
    </w:p>
    <w:p>
      <w:pPr>
        <w:pStyle w:val="Heading1"/>
        <w:ind w:left="2326" w:right="2189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</w:t>
      </w:r>
      <w:r>
        <w:rPr>
          <w:spacing w:val="-6"/>
        </w:rPr>
        <w:t>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4"/>
        </w:rPr>
        <w:t>Теко</w:t>
      </w:r>
    </w:p>
    <w:p>
      <w:pPr>
        <w:pStyle w:val="Heading1"/>
        <w:spacing w:before="365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120349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6367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-9160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1288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-9130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8943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138" w:right="245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-9100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598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-9071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25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-9041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908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-9011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562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155" w:right="234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-9029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021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8676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-8970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331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-9215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564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13"/>
      <w:ind w:left="2344" w:right="218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ka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https://teko.nt-rt.ru/</dc:creator>
  <dc:subject>ТЕКО || Опросный лист на индуктивные, оптические, емкостные, магниточувствительные датчики, датчики уровня, сенсорные кнопки, аксессуары к датчикам, взрывозащищенное оборудование, датчики с военной приёмкой, конвейерная автоматика, приборы и средства автоматизации. Карта заказа на приборы и оборудование для промышленных систем автоматизации. Продажа продукции производства завода-изготовителя TEKO, производитель Тэко, г Челябинск. Продажа Россия и Казахстан.</dc:subject>
  <dc:title>ТЕКО || Опросный лист на индуктивные, оптические, емкостные, магниточувствительные датчики, датчики уровня, сенсорные кнопки, аксессуары к датчикам, взрывозащищенное оборудование, датчики с военной приёмкой, конвейерная автоматика, приборы и средства автоматизации. Карта заказа на приборы и оборудование для промышленных систем автоматизации. Продажа продукции производства завода-изготовителя TEKO, производитель Тэко, г Челябинск. Продажа Россия и Казахстан.</dc:title>
  <dcterms:created xsi:type="dcterms:W3CDTF">2025-11-17T18:18:02Z</dcterms:created>
  <dcterms:modified xsi:type="dcterms:W3CDTF">2025-11-17T18:18:02Z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